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EE4CAE"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EE4CAE">
        <w:rPr>
          <w:rFonts w:ascii="Times New Roman" w:hAnsi="Times New Roman" w:cs="Times New Roman"/>
          <w:i/>
          <w:iCs/>
          <w:sz w:val="24"/>
          <w:szCs w:val="24"/>
          <w:shd w:val="clear" w:color="auto" w:fill="FFFFFF"/>
        </w:rPr>
        <w:t>pašvaldības policijas</w:t>
      </w:r>
    </w:p>
    <w:p w14:paraId="11626DC1" w14:textId="78FC2C30" w:rsidR="00522645" w:rsidRPr="007E13E7" w:rsidRDefault="00522645" w:rsidP="00522645">
      <w:pPr>
        <w:spacing w:after="0"/>
        <w:jc w:val="right"/>
        <w:rPr>
          <w:rFonts w:ascii="Times New Roman" w:hAnsi="Times New Roman" w:cs="Times New Roman"/>
          <w:i/>
          <w:iCs/>
          <w:sz w:val="24"/>
          <w:szCs w:val="24"/>
          <w:shd w:val="clear" w:color="auto" w:fill="FFFFFF"/>
        </w:rPr>
      </w:pPr>
      <w:r w:rsidRPr="00EE4CAE">
        <w:rPr>
          <w:rFonts w:ascii="Times New Roman" w:hAnsi="Times New Roman" w:cs="Times New Roman"/>
          <w:i/>
          <w:iCs/>
          <w:sz w:val="24"/>
          <w:szCs w:val="24"/>
          <w:shd w:val="clear" w:color="auto" w:fill="FFFFFF"/>
        </w:rPr>
        <w:t xml:space="preserve">rīkojumam Nr. </w:t>
      </w:r>
      <w:r w:rsidR="002F00EB" w:rsidRPr="002F00EB">
        <w:rPr>
          <w:rFonts w:ascii="Times New Roman" w:eastAsia="Times New Roman" w:hAnsi="Times New Roman" w:cs="Times New Roman"/>
          <w:i/>
          <w:iCs/>
          <w:sz w:val="24"/>
          <w:szCs w:val="24"/>
        </w:rPr>
        <w:t>MVNPP/1.2/25/33</w:t>
      </w: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77777777"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69CC732B"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www.varaklani.lv,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0FA6588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Iesniedzamie pieteikuma dokumenti:</w:t>
      </w:r>
    </w:p>
    <w:p w14:paraId="7B9F4467"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28100BF2" w14:textId="77777777" w:rsidR="00522645"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600AD973" w14:textId="0C35FFAA" w:rsidR="00754328" w:rsidRPr="007E13E7" w:rsidRDefault="00754328"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54328">
        <w:rPr>
          <w:rFonts w:ascii="Times New Roman" w:hAnsi="Times New Roman" w:cs="Times New Roman"/>
          <w:sz w:val="24"/>
          <w:szCs w:val="24"/>
          <w:shd w:val="clear" w:color="auto" w:fill="FFFFFF"/>
        </w:rPr>
        <w:t>B kategorijas autovadītāja apliecības kopija;</w:t>
      </w:r>
    </w:p>
    <w:p w14:paraId="0AA70561"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4486122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6728F8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53F8D41B"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0BEDF424"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6CE4B35"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pašvaldības policijas 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7AC789A4"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4F6879">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F84F71">
        <w:rPr>
          <w:rFonts w:ascii="Times New Roman" w:hAnsi="Times New Roman" w:cs="Times New Roman"/>
          <w:sz w:val="24"/>
          <w:szCs w:val="24"/>
          <w:shd w:val="clear" w:color="auto" w:fill="FFFFFF"/>
        </w:rPr>
        <w:t>2</w:t>
      </w:r>
      <w:r w:rsidR="004F6879">
        <w:rPr>
          <w:rFonts w:ascii="Times New Roman" w:hAnsi="Times New Roman" w:cs="Times New Roman"/>
          <w:sz w:val="24"/>
          <w:szCs w:val="24"/>
          <w:shd w:val="clear" w:color="auto" w:fill="FFFFFF"/>
        </w:rPr>
        <w:t>7</w:t>
      </w:r>
      <w:r w:rsidRPr="007F7586">
        <w:rPr>
          <w:rFonts w:ascii="Times New Roman" w:hAnsi="Times New Roman" w:cs="Times New Roman"/>
          <w:sz w:val="24"/>
          <w:szCs w:val="24"/>
          <w:shd w:val="clear" w:color="auto" w:fill="FFFFFF"/>
        </w:rPr>
        <w:t xml:space="preserve">. </w:t>
      </w:r>
      <w:r w:rsidR="004F6879">
        <w:rPr>
          <w:rFonts w:ascii="Times New Roman" w:hAnsi="Times New Roman" w:cs="Times New Roman"/>
          <w:sz w:val="24"/>
          <w:szCs w:val="24"/>
          <w:shd w:val="clear" w:color="auto" w:fill="FFFFFF"/>
        </w:rPr>
        <w:t>janvārim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369CBEFF" w14:textId="77777777" w:rsidR="00522645" w:rsidRPr="007E13E7" w:rsidRDefault="00522645" w:rsidP="00522645">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 inspektora galvenie amata pienākumi</w:t>
      </w:r>
    </w:p>
    <w:p w14:paraId="36580CB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Inspektora galvenie amata pienākumi:</w:t>
      </w:r>
    </w:p>
    <w:p w14:paraId="6AED68CD" w14:textId="637EDABA"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Madonas novada</w:t>
      </w:r>
      <w:r w:rsidR="000E15DE">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administratīvajā teritorijā, aizsargāt personu dzīvību, veselību, tiesības, īpašumu, sabiedrības un valsts intereses no prettiesiskiem apdraudējumiem;</w:t>
      </w:r>
    </w:p>
    <w:p w14:paraId="30DA7EE1"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494241B3"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0DDF4034"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48AECC01" w14:textId="77777777" w:rsidR="00522645" w:rsidRPr="005B7D5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74D5164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2DC4B2C8"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6E0B686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46B1887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23CD350B"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1278AB7C" w14:textId="149A0CD5"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 pašvaldības</w:t>
      </w:r>
      <w:r>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domes pieņemto saistošo noteikumu izpildi;</w:t>
      </w:r>
    </w:p>
    <w:p w14:paraId="3A576846"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 xml:space="preserve">Piedalīties un uzstāties izglītības iestāžu rīkotajos pasākumos par individuālās drošības tematiku, kā arī pasākumos, kas skar likumpārkāpumu </w:t>
      </w:r>
      <w:proofErr w:type="spellStart"/>
      <w:r w:rsidRPr="007E13E7">
        <w:rPr>
          <w:rFonts w:ascii="Times New Roman" w:eastAsia="Times New Roman" w:hAnsi="Times New Roman" w:cs="Times New Roman"/>
          <w:sz w:val="24"/>
          <w:szCs w:val="24"/>
          <w:lang w:eastAsia="ru-RU"/>
        </w:rPr>
        <w:t>prevenciju</w:t>
      </w:r>
      <w:proofErr w:type="spellEnd"/>
      <w:r w:rsidRPr="007E13E7">
        <w:rPr>
          <w:rFonts w:ascii="Times New Roman" w:eastAsia="Times New Roman" w:hAnsi="Times New Roman" w:cs="Times New Roman"/>
          <w:sz w:val="24"/>
          <w:szCs w:val="24"/>
          <w:lang w:eastAsia="ru-RU"/>
        </w:rPr>
        <w:t>;</w:t>
      </w:r>
    </w:p>
    <w:p w14:paraId="4648100F"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59CE5FE"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7F30133E"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725F26C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475FD133"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Sadarbībā ar citām valsts vai pašvaldību iestādēm (institūcijām) veikt profilaktiskus pasākumus sabiedriskās kārtības ievērošanā;</w:t>
      </w:r>
    </w:p>
    <w:p w14:paraId="41E965D2"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31F41064" w14:textId="77777777" w:rsidR="00522645" w:rsidRDefault="00522645" w:rsidP="00522645">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512B01B8"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 xml:space="preserve">Konkursa nolikums uz vakanto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25C83D4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 inspektora amata pretendenta dzimumam.</w:t>
      </w:r>
    </w:p>
    <w:p w14:paraId="47D74822" w14:textId="24388F7F" w:rsidR="00EE74EB" w:rsidRPr="00EE74EB" w:rsidRDefault="00522645"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4B44224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282D32B8"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607E" w14:textId="77777777" w:rsidR="00D91222" w:rsidRDefault="00D91222" w:rsidP="00637F61">
      <w:pPr>
        <w:spacing w:after="0" w:line="240" w:lineRule="auto"/>
      </w:pPr>
      <w:r>
        <w:separator/>
      </w:r>
    </w:p>
  </w:endnote>
  <w:endnote w:type="continuationSeparator" w:id="0">
    <w:p w14:paraId="3009AAC1" w14:textId="77777777" w:rsidR="00D91222" w:rsidRDefault="00D91222"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1437" w14:textId="77777777" w:rsidR="00D91222" w:rsidRDefault="00D91222" w:rsidP="00637F61">
      <w:pPr>
        <w:spacing w:after="0" w:line="240" w:lineRule="auto"/>
      </w:pPr>
      <w:r>
        <w:separator/>
      </w:r>
    </w:p>
  </w:footnote>
  <w:footnote w:type="continuationSeparator" w:id="0">
    <w:p w14:paraId="0C78941B" w14:textId="77777777" w:rsidR="00D91222" w:rsidRDefault="00D91222"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663BE"/>
    <w:rsid w:val="00067520"/>
    <w:rsid w:val="0007500F"/>
    <w:rsid w:val="000C183A"/>
    <w:rsid w:val="000D0871"/>
    <w:rsid w:val="000E15DE"/>
    <w:rsid w:val="000E3EAA"/>
    <w:rsid w:val="000E734E"/>
    <w:rsid w:val="00124371"/>
    <w:rsid w:val="00140646"/>
    <w:rsid w:val="00144D6C"/>
    <w:rsid w:val="001C0899"/>
    <w:rsid w:val="001D0834"/>
    <w:rsid w:val="001D50CA"/>
    <w:rsid w:val="001F7A22"/>
    <w:rsid w:val="0023001E"/>
    <w:rsid w:val="00273FA1"/>
    <w:rsid w:val="00291C7F"/>
    <w:rsid w:val="002A1B4A"/>
    <w:rsid w:val="002C2909"/>
    <w:rsid w:val="002F00EB"/>
    <w:rsid w:val="002F72E0"/>
    <w:rsid w:val="00301839"/>
    <w:rsid w:val="0031410D"/>
    <w:rsid w:val="00330943"/>
    <w:rsid w:val="00331BCE"/>
    <w:rsid w:val="00383036"/>
    <w:rsid w:val="003943A1"/>
    <w:rsid w:val="003A4EB7"/>
    <w:rsid w:val="003C67EF"/>
    <w:rsid w:val="003F4723"/>
    <w:rsid w:val="003F7DE4"/>
    <w:rsid w:val="004219CC"/>
    <w:rsid w:val="00427B89"/>
    <w:rsid w:val="004565C4"/>
    <w:rsid w:val="00476B21"/>
    <w:rsid w:val="004A00A7"/>
    <w:rsid w:val="004B2C8E"/>
    <w:rsid w:val="004B5B18"/>
    <w:rsid w:val="004C33F2"/>
    <w:rsid w:val="004F6879"/>
    <w:rsid w:val="004F7CFE"/>
    <w:rsid w:val="00500D8C"/>
    <w:rsid w:val="00522645"/>
    <w:rsid w:val="0055070C"/>
    <w:rsid w:val="00551B49"/>
    <w:rsid w:val="00564DE2"/>
    <w:rsid w:val="005753B8"/>
    <w:rsid w:val="00587F4D"/>
    <w:rsid w:val="00591B9A"/>
    <w:rsid w:val="005B07EA"/>
    <w:rsid w:val="005B67B7"/>
    <w:rsid w:val="005B7D55"/>
    <w:rsid w:val="005C3445"/>
    <w:rsid w:val="005F7211"/>
    <w:rsid w:val="00637F61"/>
    <w:rsid w:val="00644913"/>
    <w:rsid w:val="00657CE5"/>
    <w:rsid w:val="00674C9E"/>
    <w:rsid w:val="006A4697"/>
    <w:rsid w:val="006E1309"/>
    <w:rsid w:val="00730D49"/>
    <w:rsid w:val="007444CE"/>
    <w:rsid w:val="00754328"/>
    <w:rsid w:val="0075501F"/>
    <w:rsid w:val="0075781D"/>
    <w:rsid w:val="00765BD6"/>
    <w:rsid w:val="007B29EB"/>
    <w:rsid w:val="007B7C77"/>
    <w:rsid w:val="007E13E7"/>
    <w:rsid w:val="007F2600"/>
    <w:rsid w:val="007F4CAA"/>
    <w:rsid w:val="00803399"/>
    <w:rsid w:val="008160C5"/>
    <w:rsid w:val="00821198"/>
    <w:rsid w:val="00863B32"/>
    <w:rsid w:val="008C2A6B"/>
    <w:rsid w:val="008D7127"/>
    <w:rsid w:val="008E7C40"/>
    <w:rsid w:val="008F2163"/>
    <w:rsid w:val="008F6FCE"/>
    <w:rsid w:val="00900448"/>
    <w:rsid w:val="0092320C"/>
    <w:rsid w:val="00924751"/>
    <w:rsid w:val="00955153"/>
    <w:rsid w:val="00982A97"/>
    <w:rsid w:val="009870CF"/>
    <w:rsid w:val="009F0438"/>
    <w:rsid w:val="009F237B"/>
    <w:rsid w:val="00A1614F"/>
    <w:rsid w:val="00A803E6"/>
    <w:rsid w:val="00A829BB"/>
    <w:rsid w:val="00A872E9"/>
    <w:rsid w:val="00A972F9"/>
    <w:rsid w:val="00AD324D"/>
    <w:rsid w:val="00B07598"/>
    <w:rsid w:val="00B33FB3"/>
    <w:rsid w:val="00B84D0D"/>
    <w:rsid w:val="00B8701B"/>
    <w:rsid w:val="00BC2512"/>
    <w:rsid w:val="00BD0A0F"/>
    <w:rsid w:val="00BF15EE"/>
    <w:rsid w:val="00BF6ABA"/>
    <w:rsid w:val="00C52753"/>
    <w:rsid w:val="00C52A6D"/>
    <w:rsid w:val="00C57D90"/>
    <w:rsid w:val="00C728DC"/>
    <w:rsid w:val="00C83BD5"/>
    <w:rsid w:val="00CE3B60"/>
    <w:rsid w:val="00CE4993"/>
    <w:rsid w:val="00CE5460"/>
    <w:rsid w:val="00CF70AB"/>
    <w:rsid w:val="00D91222"/>
    <w:rsid w:val="00DC5276"/>
    <w:rsid w:val="00DD1C33"/>
    <w:rsid w:val="00DD2250"/>
    <w:rsid w:val="00DF6B16"/>
    <w:rsid w:val="00E40276"/>
    <w:rsid w:val="00E4587E"/>
    <w:rsid w:val="00E52F75"/>
    <w:rsid w:val="00E668AB"/>
    <w:rsid w:val="00E75D34"/>
    <w:rsid w:val="00E81C96"/>
    <w:rsid w:val="00EC2403"/>
    <w:rsid w:val="00EC7128"/>
    <w:rsid w:val="00EC7F2D"/>
    <w:rsid w:val="00EE4CAE"/>
    <w:rsid w:val="00EE74EB"/>
    <w:rsid w:val="00EF276C"/>
    <w:rsid w:val="00F065FB"/>
    <w:rsid w:val="00F27C0F"/>
    <w:rsid w:val="00F307BF"/>
    <w:rsid w:val="00F51903"/>
    <w:rsid w:val="00F56F9C"/>
    <w:rsid w:val="00F6792B"/>
    <w:rsid w:val="00F84F71"/>
    <w:rsid w:val="00FD1732"/>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11533</Words>
  <Characters>6574</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14</cp:revision>
  <cp:lastPrinted>2024-07-24T05:16:00Z</cp:lastPrinted>
  <dcterms:created xsi:type="dcterms:W3CDTF">2025-09-11T07:24:00Z</dcterms:created>
  <dcterms:modified xsi:type="dcterms:W3CDTF">2025-11-20T08:00:00Z</dcterms:modified>
</cp:coreProperties>
</file>